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Members' contributions</w:t>
      </w:r>
    </w:p>
    <w:p>
      <w:pPr>
        <w:jc w:val="both"/>
        <w:spacing w:before="100" w:after="100"/>
        <w:ind w:start="360"/>
        <w:ind w:firstLine="360"/>
      </w:pPr>
      <w:r>
        <w:rPr/>
      </w:r>
      <w:r>
        <w:rPr/>
      </w:r>
      <w:r>
        <w:t xml:space="preserve">On and after July 1, 1993, each member shall contribute at a rate of 7.65% of earnable compensation.</w:t>
      </w:r>
      <w:r>
        <w:t xml:space="preserve">  </w:t>
      </w:r>
      <w:r xmlns:wp="http://schemas.openxmlformats.org/drawingml/2010/wordprocessingDrawing" xmlns:w15="http://schemas.microsoft.com/office/word/2012/wordml">
        <w:rPr>
          <w:rFonts w:ascii="Arial" w:hAnsi="Arial" w:cs="Arial"/>
          <w:sz w:val="22"/>
          <w:szCs w:val="22"/>
        </w:rPr>
        <w:t xml:space="preserve">[PL 1993, c. 410, Pt. L,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1993, c. 410, §L3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Members'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Members'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§804. MEMBERS'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