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Payment of service retirement allowance</w:t>
      </w:r>
    </w:p>
    <w:p>
      <w:pPr>
        <w:jc w:val="both"/>
        <w:spacing w:before="100" w:after="100"/>
        <w:ind w:start="360"/>
        <w:ind w:firstLine="360"/>
      </w:pPr>
      <w:r>
        <w:rPr/>
      </w:r>
      <w:r>
        <w:rPr/>
      </w:r>
      <w:r>
        <w:t xml:space="preserve">All service retirement allowances must be paid on the same basis as provided for members of the State Employee and Teacher Retirement Program by </w:t>
      </w:r>
      <w:r>
        <w:t>Title 5, section 17804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§12 (AMD). PL 2007, c. 58, §3 (REV). PL 2007, c. 491,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§857. Payment of service retirement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Payment of service retirement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§857. PAYMENT OF SERVICE RETIREMENT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