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901-B</w:t>
        <w:t xml:space="preserve">.  </w:t>
      </w:r>
      <w:r>
        <w:rPr>
          <w:b/>
        </w:rPr>
        <w:t xml:space="preserve">Director, State House and Capitol Park Commission</w:t>
      </w:r>
    </w:p>
    <w:p>
      <w:pPr>
        <w:jc w:val="both"/>
        <w:spacing w:before="100" w:after="100"/>
        <w:ind w:start="360"/>
        <w:ind w:firstLine="360"/>
      </w:pPr>
      <w:r>
        <w:rPr/>
      </w:r>
      <w:r>
        <w:rPr/>
      </w:r>
      <w:r>
        <w:t xml:space="preserve">The Legislative Council shall appoint the Director of the State House and Capitol Park Commission who shall serve at the pleasure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§901-B. Director, State House and Capitol Park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§901-B. Director, State House and Capitol Park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§901-B. DIRECTOR, STATE HOUSE AND CAPITOL PARK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