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Report to the Legislature and the Governor</w:t>
      </w:r>
    </w:p>
    <w:p>
      <w:pPr>
        <w:jc w:val="both"/>
        <w:spacing w:before="100" w:after="100"/>
        <w:ind w:start="360"/>
        <w:ind w:firstLine="360"/>
      </w:pPr>
      <w:r>
        <w:rPr/>
      </w:r>
      <w:r>
        <w:rPr/>
      </w:r>
      <w:r>
        <w:t xml:space="preserve">The commission shall report biennially to the Legislative Council and the Governor facts and recommendations relating to the work and needs of the commission.  The commission shall list all activities and projects initiated, completed or proposed during the next biennium which concern the preservation and development of the aesthetic and historical integrity of the State Capitol Building.</w:t>
      </w:r>
      <w:r>
        <w:t xml:space="preserve">  </w:t>
      </w:r>
      <w:r xmlns:wp="http://schemas.openxmlformats.org/drawingml/2010/wordprocessingDrawing" xmlns:w15="http://schemas.microsoft.com/office/word/2012/wordml">
        <w:rPr>
          <w:rFonts w:ascii="Arial" w:hAnsi="Arial" w:cs="Arial"/>
          <w:sz w:val="22"/>
          <w:szCs w:val="22"/>
        </w:rPr>
        <w:t xml:space="preserve">[PL 1987, c. 816, Pt. 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Report to the Legislature and the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Report to the Legislature and the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§904. REPORT TO THE LEGISLATURE AND THE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