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 Process for review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Process for review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§998. PROCESS FOR REVIEW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