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Salaries</w:t>
      </w:r>
    </w:p>
    <w:p>
      <w:pPr>
        <w:jc w:val="both"/>
        <w:spacing w:before="100" w:after="100"/>
        <w:ind w:start="360"/>
        <w:ind w:firstLine="360"/>
      </w:pPr>
      <w:r>
        <w:rPr/>
      </w:r>
      <w:r>
        <w:rPr/>
      </w:r>
      <w:r>
        <w:t xml:space="preserve">County treasurers shall receive annual salaries as set forth in </w:t>
      </w:r>
      <w:r>
        <w:t>section 2</w:t>
      </w:r>
      <w:r>
        <w:t xml:space="preserve">.  The deputy treasurer shall receive an annual salary as established by the treasurer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§154.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