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Fines applied to building and repair of jail</w:t>
      </w:r>
    </w:p>
    <w:p>
      <w:pPr>
        <w:jc w:val="both"/>
        <w:spacing w:before="100" w:after="100"/>
        <w:ind w:start="360"/>
        <w:ind w:firstLine="360"/>
      </w:pPr>
      <w:r>
        <w:rPr/>
      </w:r>
      <w:r>
        <w:rPr/>
      </w:r>
      <w:r>
        <w:t xml:space="preserve">All fines imposed by this chapter and </w:t>
      </w:r>
      <w:r>
        <w:t>chapter 1, subchapter VI</w:t>
      </w:r>
      <w:r>
        <w:t xml:space="preserve">; </w:t>
      </w:r>
      <w:r>
        <w:t>Title 14, section 555</w:t>
      </w:r>
      <w:r>
        <w:t xml:space="preserve">; and </w:t>
      </w:r>
      <w:r>
        <w:t>Title 14, chapter 203, subchapter IV</w:t>
      </w:r>
      <w:r>
        <w:t xml:space="preserve">, not otherwise appropriated, shall be applied to building and repairing the jails in the county where the offense is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§1657. Fines applied to building and repair of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Fines applied to building and repair of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§1657. FINES APPLIED TO BUILDING AND REPAIR OF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