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Payments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Payments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3. PAYMENTS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