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Appeal</w:t>
      </w:r>
    </w:p>
    <w:p>
      <w:pPr>
        <w:jc w:val="both"/>
        <w:spacing w:before="100" w:after="100"/>
        <w:ind w:start="360"/>
        <w:ind w:firstLine="360"/>
      </w:pPr>
      <w:r>
        <w:rPr/>
      </w:r>
      <w:r>
        <w:rPr/>
      </w:r>
      <w:r>
        <w:t xml:space="preserve">If a person sustaining damages by the taking by the jail authority under </w:t>
      </w:r>
      <w:r>
        <w:t>section 1903</w:t>
      </w:r>
      <w:r>
        <w:t xml:space="preserve"> does not agree with the jail authority upon the sum to be paid, either party, upon petition to the superior court of the county in which the property is located, may have the damages assessed by the superior court.  The procedure and all subsequent proceedings and right of appeal must be under the same restrictions, conditions and limitations as are or may be by law prescribed in the case of damages by the laying out of highways by the commissioners, except that title to the lands, real estate, easements or interests in lands, real estate or easements and other property and rights to be taken may not vest in the jail authority until payment to the owner of the amount awarded for the taking or, if the payment is refused upon tender, until tender is made to the owner. The amount awarded must be escrowed at interest for the benefit of the owner, pending final determination of the amount to which the owner is entitled.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