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Contents of agreement</w:t>
      </w:r>
    </w:p>
    <w:p>
      <w:pPr>
        <w:jc w:val="both"/>
        <w:spacing w:before="100" w:after="100"/>
        <w:ind w:start="360"/>
        <w:ind w:firstLine="360"/>
      </w:pPr>
      <w:r>
        <w:rPr/>
      </w:r>
      <w:r>
        <w:rPr/>
      </w:r>
      <w:r>
        <w:t xml:space="preserve">The agreement must provide for representation, but at least 1/2 of the representatives of each member must be municipal officers.  The agreement must specify the organization, the method of withdrawal, the method of terminating the agreement and the grounds for suspension of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Contents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Contents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§2312. CONTENTS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