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Circulation of petitions for local initiative</w:t>
      </w:r>
    </w:p>
    <w:p>
      <w:pPr>
        <w:jc w:val="both"/>
        <w:spacing w:before="100" w:after="100"/>
        <w:ind w:start="360"/>
        <w:ind w:firstLine="360"/>
      </w:pPr>
      <w:r>
        <w:rPr/>
      </w:r>
      <w:r>
        <w:rPr/>
      </w:r>
      <w:r>
        <w:t xml:space="preserve">No municipality may enact any charter provision or ordinance prohibiting the circulation of petitions for any local initiative.  A petition related to any local initiative, including, without limitation, petitions filed under </w:t>
      </w:r>
      <w:r>
        <w:t>section 2522</w:t>
      </w:r>
      <w:r>
        <w:t xml:space="preserve">, </w:t>
      </w:r>
      <w:r>
        <w:t>section 2528, subsection 5</w:t>
      </w:r>
      <w:r>
        <w:t xml:space="preserve">, the Constitution of Maine, Article IV, Part Third, Section 21, or a municipal charter provision authorizing local initiatives, may be circulated as provided in </w:t>
      </w:r>
      <w:r>
        <w:t>Title 21‑A, section 903‑A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§2 (NEW). RR 1999, c. 1,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Circulation of petitions for local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Circulation of petitions for local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§2504. CIRCULATION OF PETITIONS FOR LOCAL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