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§2528. Secret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Secret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§2528. SECRET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