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Assistant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Assistant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§272. ASSISTANT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