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Revision, codification and publication</w:t>
      </w:r>
    </w:p>
    <w:p>
      <w:pPr>
        <w:jc w:val="both"/>
        <w:spacing w:before="100" w:after="100"/>
        <w:ind w:start="360"/>
        <w:ind w:firstLine="360"/>
      </w:pPr>
      <w:r>
        <w:rPr/>
      </w:r>
      <w:r>
        <w:rPr/>
      </w:r>
      <w:r>
        <w:t xml:space="preserve">A municipality may revise, codify and publish from time to time in book or pamphlet form all or part of its ordinances arranged in appropriate classifications excluding the titles, signatures and other formal parts of the enacting legislation for the purpose of producing a complete, accurate code of the ordinances in force.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Enactment.</w:t>
        <w:t xml:space="preserve"> </w:t>
      </w:r>
      <w:r>
        <w:t xml:space="preserve"> </w:t>
      </w:r>
      <w:r>
        <w:t xml:space="preserve">The revised code shall be enacted by one ordinance entitled "An ordinance to revise and codify ordinances of the City (or Town) of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Repeals; vested rights.</w:t>
        <w:t xml:space="preserve"> </w:t>
      </w:r>
      <w:r>
        <w:t xml:space="preserve"> </w:t>
      </w:r>
      <w:r>
        <w:t xml:space="preserve">The revised code is a repeal of all ordinances in conflict with it, but all ordinances in force before its adoption continue in force for the sole purpose of preserving vested rights acquired under the former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Admissible in evidence; revision.</w:t>
        <w:t xml:space="preserve"> </w:t>
      </w:r>
      <w:r>
        <w:t xml:space="preserve"> </w:t>
      </w:r>
      <w:r>
        <w:t xml:space="preserve">When adopted, the revised code becomes law and is admissible in all courts without further proof as prima facie evidence of its existence and validity.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Revision of ordinance.</w:t>
        <w:t xml:space="preserve"> </w:t>
      </w:r>
      <w:r>
        <w:t xml:space="preserve"> </w:t>
      </w:r>
      <w:r>
        <w:t xml:space="preserve">In the process of codifying a municipality's ordinances, an ordinance may be revised only by following the procedure required for its original enactment.  This subsection does not require the individual enactment of changes in each ordinance which is to be codified by a municipality except when the enactment procedure to be followed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§3004. Revision, codification and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Revision, codification and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§3004. REVISION, CODIFICATION AND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