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Road-naming disputes</w:t>
      </w:r>
    </w:p>
    <w:p>
      <w:pPr>
        <w:jc w:val="both"/>
        <w:spacing w:before="100" w:after="100"/>
        <w:ind w:start="360"/>
        <w:ind w:firstLine="360"/>
      </w:pPr>
      <w:r>
        <w:rPr/>
      </w:r>
      <w:r>
        <w:rPr/>
      </w:r>
      <w:r>
        <w:t xml:space="preserve">Unless otherwise provided by local ordinance or charter, when there is a dispute over the naming of a town way, private way or private road for E-9-1-1 purposes, the decision of the municipal officers is final.</w:t>
      </w:r>
      <w:r>
        <w:t xml:space="preserve">  </w:t>
      </w:r>
      <w:r xmlns:wp="http://schemas.openxmlformats.org/drawingml/2010/wordprocessingDrawing" xmlns:w15="http://schemas.microsoft.com/office/word/2012/wordml">
        <w:rPr>
          <w:rFonts w:ascii="Arial" w:hAnsi="Arial" w:cs="Arial"/>
          <w:sz w:val="22"/>
          <w:szCs w:val="22"/>
        </w:rPr>
        <w:t xml:space="preserve">[PL 2009,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 Road-naming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Road-naming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§3110. ROAD-NAMING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