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Municipal liability; demolished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§3155. MUNICIPAL LIABILITY; DEMOLISHED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