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w:t>
        <w:t xml:space="preserve">.  </w:t>
      </w:r>
      <w:r>
        <w:rPr>
          <w:b/>
        </w:rPr>
        <w:t xml:space="preserve">Appointment and duties of tree wardens</w:t>
      </w:r>
    </w:p>
    <w:p>
      <w:pPr>
        <w:jc w:val="both"/>
        <w:spacing w:before="100" w:after="100"/>
        <w:ind w:start="360"/>
        <w:ind w:firstLine="360"/>
      </w:pPr>
      <w:r>
        <w:rPr/>
      </w:r>
      <w:r>
        <w:rPr/>
      </w:r>
      <w:r>
        <w:t xml:space="preserve">The municipal officers of municipalities which have not appointed conservation commissioners under </w:t>
      </w:r>
      <w:r>
        <w:t>subchapter II</w:t>
      </w:r>
      <w:r>
        <w:t xml:space="preserve"> may annually appoint one or more tree wardens who have the care and control of all public shade trees upon and along the highways and in the parks of the municipality and all streets within any village limits.  They shall enforce all laws relating to the preservation of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§3282. Appointment and duties of tree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 Appointment and duties of tree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§3282. APPOINTMENT AND DUTIES OF TREE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