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3426</w:t>
        <w:t xml:space="preserve">.  </w:t>
      </w:r>
      <w:r>
        <w:rPr>
          <w:b/>
        </w:rPr>
        <w:t xml:space="preserve">Repair of private drain on owner's neglect</w:t>
      </w:r>
    </w:p>
    <w:p>
      <w:pPr>
        <w:jc w:val="both"/>
        <w:spacing w:before="100" w:after="100"/>
        <w:ind w:start="360"/>
        <w:ind w:firstLine="360"/>
      </w:pPr>
      <w:r>
        <w:rPr/>
      </w:r>
      <w:r>
        <w:rPr/>
      </w:r>
      <w:r>
        <w:t xml:space="preserve">If a private drain becomes so obstructed or out of repair as to damage any street or highway, and the persons using the drain, after notice by the road commissioners, unreasonably neglect to repair the drain and the damage to the street or highway, the municipality shall repair the drain and the damage to the street or highway.  The municipality may recover the expense of these repairs in a civil action against any one or more of the persons using the drain.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§3426. Repair of private drain on owner's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§3426. Repair of private drain on owner's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§3426. REPAIR OF PRIVATE DRAIN ON OWNER'S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