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§3428. Malfunctioning domestic waste water disposal units;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§3428. Malfunctioning domestic waste water disposal units;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§3428. MALFUNCTIONING DOMESTIC WASTE WATER DISPOSAL UNITS;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