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3533</w:t>
        <w:t xml:space="preserve">.  </w:t>
      </w:r>
      <w:r>
        <w:rPr>
          <w:b/>
        </w:rPr>
        <w:t xml:space="preserve">Management</w:t>
      </w:r>
    </w:p>
    <w:p>
      <w:pPr>
        <w:jc w:val="both"/>
        <w:spacing w:before="100" w:after="0"/>
        <w:ind w:start="360"/>
        <w:ind w:firstLine="360"/>
      </w:pPr>
      <w:r>
        <w:rPr>
          <w:b/>
        </w:rPr>
        <w:t>1</w:t>
        <w:t xml:space="preserve">.  </w:t>
      </w:r>
      <w:r>
        <w:rPr>
          <w:b/>
        </w:rPr>
        <w:t xml:space="preserve">Directors; officers.</w:t>
        <w:t xml:space="preserve"> </w:t>
      </w:r>
      <w:r>
        <w:t xml:space="preserve"> </w:t>
      </w:r>
      <w:r>
        <w:t xml:space="preserve">The affairs of a district formed under </w:t>
      </w:r>
      <w:r>
        <w:t>section 3532</w:t>
      </w:r>
      <w:r>
        <w:t xml:space="preserve"> are managed by a board of directors chosen from the inhabitants of the municipalities comprising the district.  The municipal officers of each municipality shall select the directors to represent the municipality.  The directors shall elect from among themselves a president, treasurer, clerk and such other officers as they consider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Bylaws.</w:t>
        <w:t xml:space="preserve"> </w:t>
      </w:r>
      <w:r>
        <w:t xml:space="preserve"> </w:t>
      </w:r>
      <w:r>
        <w:t xml:space="preserve">The directors shall adopt bylaws and rules for the conduct of district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Employees.</w:t>
        <w:t xml:space="preserve"> </w:t>
      </w:r>
      <w:r>
        <w:t xml:space="preserve"> </w:t>
      </w:r>
      <w:r>
        <w:t xml:space="preserve">The directors may appoint and fix the compensation, if any, of employees needed to carry out the district's purposes and may delegate their authority under this subsection to a district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§3533.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§3533.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§3533.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