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§3772. RECORDS OF PURCHASES MAINTAINED BY SCRAP METAL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