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§3822. Register of true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Register of true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§3822. REGISTER OF TRUE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