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3981</w:t>
        <w:t xml:space="preserve">.  </w:t>
      </w:r>
      <w:r>
        <w:rPr>
          <w:b/>
        </w:rPr>
        <w:t xml:space="preserve">Licensing recreational business activities</w:t>
      </w:r>
    </w:p>
    <w:p>
      <w:pPr>
        <w:jc w:val="both"/>
        <w:spacing w:before="100" w:after="100"/>
        <w:ind w:start="360"/>
        <w:ind w:firstLine="360"/>
      </w:pPr>
      <w:r>
        <w:rPr/>
      </w:r>
      <w:r>
        <w:rPr/>
      </w:r>
      <w:r>
        <w:t xml:space="preserve">Pursuant to its home rule authority and for the purpose of protecting the safety, health and welfare of the general public, a municipality may establish by ordinance licensing procedures, standards and appropriate fees to cover the costs of administration, regulation and enforcement of recreational business activities including without limitation the activities of bowling alleys, shooting galleries, pool, bagatelle and billiard rooms, pinball machine arcades, public exhibitions and roller-skating and ice-skating rinks.</w:t>
      </w:r>
      <w:r>
        <w:t xml:space="preserve">  </w:t>
      </w:r>
      <w:r xmlns:wp="http://schemas.openxmlformats.org/drawingml/2010/wordprocessingDrawing" xmlns:w15="http://schemas.microsoft.com/office/word/2012/wordml">
        <w:rPr>
          <w:rFonts w:ascii="Arial" w:hAnsi="Arial" w:cs="Arial"/>
          <w:sz w:val="22"/>
          <w:szCs w:val="22"/>
        </w:rPr>
        <w:t xml:space="preserve">[PL 2013, c. 595, Pt. U,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§3981. Licensing recreational business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§3981. Licensing recreational business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§3981. LICENSING RECREATIONAL BUSINESS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