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4357-A</w:t>
        <w:t xml:space="preserve">.  </w:t>
      </w:r>
      <w:r>
        <w:rPr>
          <w:b/>
        </w:rPr>
        <w:t xml:space="preserve">Community living arrangements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"Community living arrangement" means a housing facility for 8 or fewer persons with disabilities that is approved, authorized, certified or licensed by the State.  A community living arrangement may include a group home, foster home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w:pPr>
        <w:jc w:val="both"/>
        <w:spacing w:before="100" w:after="0"/>
        <w:ind w:start="720"/>
      </w:pPr>
      <w:r>
        <w:rPr/>
        <w:t>B</w:t>
        <w:t xml:space="preserve">.  </w:t>
      </w:r>
      <w:r>
        <w:rPr/>
      </w:r>
      <w:r>
        <w:t xml:space="preserve">"Disability" has the same meaning as the term "handicap" in the federal Fair Housing Act, 42 United States Code, Section 3602.</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w:pPr>
        <w:jc w:val="both"/>
        <w:spacing w:before="100" w:after="0"/>
        <w:ind w:start="360"/>
        <w:ind w:firstLine="360"/>
      </w:pPr>
      <w:r>
        <w:rPr>
          <w:b/>
        </w:rPr>
        <w:t>2</w:t>
        <w:t xml:space="preserve">.  </w:t>
      </w:r>
      <w:r>
        <w:rPr>
          <w:b/>
        </w:rPr>
        <w:t xml:space="preserve">Single-family use.</w:t>
        <w:t xml:space="preserve"> </w:t>
      </w:r>
      <w:r>
        <w:t xml:space="preserve"> </w:t>
      </w:r>
      <w:r>
        <w:t xml:space="preserve">In order to implement the policy of this State that persons with disabilities are not excluded by municipal zoning ordinances from the benefits of normal residential surroundings, a community living arrangement is deemed a single-family use of property for the purposes of 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§4357-A.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§4357-A.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§4357-A.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