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4369</w:t>
        <w:t xml:space="preserve">.  </w:t>
      </w:r>
      <w:r>
        <w:rPr>
          <w:b/>
        </w:rPr>
        <w:t xml:space="preserve">Land use permit approval</w:t>
      </w:r>
    </w:p>
    <w:p>
      <w:pPr>
        <w:jc w:val="both"/>
        <w:spacing w:before="100" w:after="100"/>
        <w:ind w:start="360"/>
        <w:ind w:firstLine="360"/>
      </w:pPr>
      <w:r>
        <w:rPr/>
      </w:r>
      <w:r>
        <w:rPr/>
      </w:r>
      <w:r>
        <w:t xml:space="preserve">The municipal reviewing authority shall evaluate the impacts of the proposed large-scale retail development based on the comprehensive economic impact study; other materials submitted to the municipal reviewing authority by any person, including the applicant, state agencies, nonprofit organizations and members of the public; and testimony received during the public hearing under </w:t>
      </w:r>
      <w:r>
        <w:t>section 4368</w:t>
      </w:r>
      <w:r>
        <w:t xml:space="preserve"> to issue a finding of undue adverse impact or no undue adverse impact.  The municipal reviewing authority may issue a land use permit for a large-scale retail development only if it determines that there is likely to be no undue adverse impact.</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w:pPr>
        <w:jc w:val="both"/>
        <w:spacing w:before="100" w:after="100"/>
        <w:ind w:start="360"/>
        <w:ind w:firstLine="360"/>
      </w:pPr>
      <w:r>
        <w:rPr/>
      </w:r>
      <w:r>
        <w:rPr/>
      </w:r>
      <w:r>
        <w:t xml:space="preserve">Nothing in this Act may preclude a municipality from adopting an ordinance to authorize additional studies and criteria regarding the effects of a proposed large-scale retail development.  The requirements of this Act are in addition to all other required federal, state and local land use permit processes that pertain to a proposed large-scale retail development.</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§4369. Land use permit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§4369. Land use permit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§4369. LAND USE PERMIT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