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Review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Review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§4404. REVIEW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