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459, §1 (NEW).]</w:t>
      </w:r>
    </w:p>
    <w:p>
      <w:pPr>
        <w:jc w:val="both"/>
        <w:spacing w:before="100" w:after="100"/>
        <w:ind w:start="360"/>
        <w:ind w:firstLine="360"/>
      </w:pPr>
      <w:r>
        <w:rPr>
          <w:b/>
        </w:rPr>
        <w:t>1</w:t>
        <w:t xml:space="preserve">.  </w:t>
      </w:r>
      <w:r>
        <w:rPr>
          <w:b/>
        </w:rPr>
        <w:t xml:space="preserve">Significant municipal land use decision.</w:t>
        <w:t xml:space="preserve"> </w:t>
      </w:r>
      <w:r>
        <w:t xml:space="preserve"> </w:t>
      </w:r>
      <w:r>
        <w:t xml:space="preserve">"Significant municipal land use decision" means final action on an application for a land use development project that is either:</w:t>
      </w:r>
    </w:p>
    <w:p>
      <w:pPr>
        <w:jc w:val="both"/>
        <w:spacing w:before="100" w:after="0"/>
        <w:ind w:start="720"/>
      </w:pPr>
      <w:r>
        <w:rPr/>
        <w:t>A</w:t>
        <w:t xml:space="preserve">.  </w:t>
      </w:r>
      <w:r>
        <w:rPr/>
      </w:r>
      <w:r>
        <w:t xml:space="preserve">Submitted to the municipal reviewing authority, as defined by </w:t>
      </w:r>
      <w:r>
        <w:t>section 4301, subsection 12</w:t>
      </w:r>
      <w:r>
        <w:t xml:space="preserve">, under a municipal site plan ordinance or other municipal ordinance adopted under </w:t>
      </w:r>
      <w:r>
        <w:t>chapter 187, subchapter 3</w:t>
      </w:r>
      <w:r>
        <w:t xml:space="preserve">, or pursuant to authority under </w:t>
      </w:r>
      <w:r>
        <w:t>Title 38, section 488, subsection 19</w:t>
      </w:r>
      <w:r>
        <w:t xml:space="preserve"> or </w:t>
      </w:r>
      <w:r>
        <w:t>section 489‑A</w:t>
      </w:r>
      <w:r>
        <w:t xml:space="preserve">, but only if the land use development project consists of:</w:t>
      </w:r>
    </w:p>
    <w:p>
      <w:pPr>
        <w:jc w:val="both"/>
        <w:spacing w:before="100" w:after="0"/>
        <w:ind w:start="1080"/>
      </w:pPr>
      <w:r>
        <w:rPr/>
        <w:t>(</w:t>
        <w:t>1</w:t>
        <w:t xml:space="preserve">)  </w:t>
      </w:r>
      <w:r>
        <w:rPr/>
      </w:r>
      <w:r>
        <w:t xml:space="preserve">One or more buildings that occupy a total ground area in excess of 10,000 square feet or contain a total floor area in excess of 40,000 square feet; or</w:t>
      </w:r>
    </w:p>
    <w:p>
      <w:pPr>
        <w:jc w:val="both"/>
        <w:spacing w:before="100" w:after="0"/>
        <w:ind w:start="1080"/>
      </w:pPr>
      <w:r>
        <w:rPr/>
        <w:t>(</w:t>
        <w:t>2</w:t>
        <w:t xml:space="preserve">)  </w:t>
      </w:r>
      <w:r>
        <w:rPr/>
      </w:r>
      <w:r>
        <w:t xml:space="preserve">A total ground area in excess of 3 acres occupied by buildings, parking lots, roads, paved areas, wharves and other areas to be stripped or graded and not revegetated; or</w:t>
      </w:r>
      <w:r>
        <w:t xml:space="preserve">  </w:t>
      </w:r>
      <w:r xmlns:wp="http://schemas.openxmlformats.org/drawingml/2010/wordprocessingDrawing" xmlns:w15="http://schemas.microsoft.com/office/word/2012/wordml">
        <w:rPr>
          <w:rFonts w:ascii="Arial" w:hAnsi="Arial" w:cs="Arial"/>
          <w:sz w:val="22"/>
          <w:szCs w:val="22"/>
        </w:rPr>
        <w:t xml:space="preserve">[PL 2015, c. 459, §1 (NEW).]</w:t>
      </w:r>
    </w:p>
    <w:p>
      <w:pPr>
        <w:jc w:val="both"/>
        <w:spacing w:before="100" w:after="0"/>
        <w:ind w:start="720"/>
      </w:pPr>
      <w:r>
        <w:rPr/>
        <w:t>B</w:t>
        <w:t xml:space="preserve">.  </w:t>
      </w:r>
      <w:r>
        <w:rPr/>
      </w:r>
      <w:r>
        <w:t xml:space="preserve">Submitted as a project consisting of 10 or more lots subject to the municipal reviewing authority, as defined by </w:t>
      </w:r>
      <w:r>
        <w:t>section 4301, subsection 12</w:t>
      </w:r>
      <w:r>
        <w:t xml:space="preserve">, under an ordinance adopted under </w:t>
      </w:r>
      <w:r>
        <w:t>chapter 187, subchapter 4</w:t>
      </w:r>
      <w:r>
        <w:t xml:space="preserve"> or pursuant to authority under </w:t>
      </w:r>
      <w:r>
        <w:t>Title 38, section 488, subsection 19</w:t>
      </w:r>
      <w:r>
        <w:t xml:space="preserve"> or </w:t>
      </w:r>
      <w:r>
        <w:t>section 489‑A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