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Personnel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confidential and not open to public inspection.  They are not "public records" as defined in </w:t>
      </w:r>
      <w:r>
        <w:t>Title 1, section 402, subsection 3</w:t>
      </w:r>
      <w:r>
        <w:t xml:space="preserve">.  These records include:</w:t>
      </w:r>
    </w:p>
    <w:p>
      <w:pPr>
        <w:jc w:val="both"/>
        <w:spacing w:before="100" w:after="0"/>
        <w:ind w:start="720"/>
      </w:pPr>
      <w:r>
        <w:rPr/>
        <w:t>A</w:t>
        <w:t xml:space="preserve">.  </w:t>
      </w:r>
      <w:r>
        <w:rPr/>
      </w:r>
      <w:r>
        <w:t xml:space="preserve">Except as provided in this paragraph, applications, resumes, letters and notes of reference, working papers, research materials, records, examinations and any other documents or records and the information they contain, solicited or prepared either by the applicant or the county for use in the examination or evaluation of applicants for positions as county employees.</w:t>
      </w:r>
    </w:p>
    <w:p>
      <w:pPr>
        <w:jc w:val="both"/>
        <w:spacing w:before="100" w:after="0"/>
        <w:ind w:start="1080"/>
      </w:pPr>
      <w:r>
        <w:rPr/>
        <w:t>(</w:t>
        <w:t>1</w:t>
        <w:t xml:space="preserve">)  </w:t>
      </w:r>
      <w:r>
        <w:rPr/>
      </w:r>
      <w:r>
        <w:t xml:space="preserve">Notwithstanding any confidentiality provision other than this paragraph, applications, resumes and letters and notes of reference, other than those letters and notes of reference expressly submitted in confidence, pertaining to the applicant hired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union representatives from access to personnel records which may be necessary for the bargaining agent to carry out its collective bargaining responsibilities.  Any records available to union representatives which are otherwise covered by this subsection shall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402, §2 (RPR).]</w:t>
      </w:r>
    </w:p>
    <w:p>
      <w:pPr>
        <w:jc w:val="both"/>
        <w:spacing w:before="100" w:after="0"/>
        <w:ind w:start="720"/>
      </w:pPr>
      <w:r>
        <w:rPr/>
        <w:t>B</w:t>
        <w:t xml:space="preserve">.  </w:t>
      </w:r>
      <w:r>
        <w:rPr/>
      </w:r>
      <w:r>
        <w:t xml:space="preserve">County records containing the following:</w:t>
      </w:r>
    </w:p>
    <w:p>
      <w:pPr>
        <w:jc w:val="both"/>
        <w:spacing w:before="100" w:after="0"/>
        <w:ind w:start="1080"/>
      </w:pPr>
      <w:r>
        <w:rPr/>
        <w:t>(</w:t>
        <w:t>1</w:t>
        <w:t xml:space="preserve">)  </w:t>
      </w:r>
      <w:r>
        <w:rPr/>
      </w:r>
      <w:r>
        <w:t xml:space="preserve">Medical information of any kind, including information pertaining to the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gender identity or sexual orientation as defined in </w:t>
      </w:r>
      <w:r>
        <w:t>Title 5, section 4553, subsection 9‑C</w:t>
      </w:r>
      <w:r>
        <w:t xml:space="preserve">; or</w:t>
      </w:r>
    </w:p>
    <w:p>
      <w:pPr>
        <w:jc w:val="both"/>
        <w:spacing w:before="100" w:after="0"/>
        <w:ind w:start="1440"/>
      </w:pPr>
      <w:r>
        <w:rPr/>
        <w:t>(</w:t>
        <w:t>i</w:t>
        <w:t xml:space="preserve">)  </w:t>
      </w:r>
      <w:r>
        <w:rPr/>
      </w:r>
      <w:r>
        <w:t xml:space="preserve">Social security number.</w:t>
      </w:r>
    </w:p>
    <w:p>
      <w:pPr>
        <w:jc w:val="both"/>
        <w:spacing w:before="100" w:after="0"/>
        <w:ind w:start="1080"/>
      </w:pPr>
      <w:r>
        <w:rPr/>
      </w:r>
      <w:r>
        <w:rPr/>
      </w:r>
      <w:r>
        <w:t xml:space="preserve">Such personal information may be disclosed publicly in aggregate form, unless there is a reasonable possibility that the information would be able to be used, directly or indirectly, to identify any specific employee; and</w:t>
      </w:r>
      <w:r>
        <w:t xml:space="preserve">  </w:t>
      </w:r>
      <w:r xmlns:wp="http://schemas.openxmlformats.org/drawingml/2010/wordprocessingDrawing" xmlns:w15="http://schemas.microsoft.com/office/word/2012/wordml">
        <w:rPr>
          <w:rFonts w:ascii="Arial" w:hAnsi="Arial" w:cs="Arial"/>
          <w:sz w:val="22"/>
          <w:szCs w:val="22"/>
        </w:rPr>
        <w:t xml:space="preserve">[PL 2023, c. 159, §2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159, §2 (AMD).]</w:t>
      </w:r>
    </w:p>
    <w:p>
      <w:pPr>
        <w:jc w:val="both"/>
        <w:spacing w:before="100" w:after="100"/>
        <w:ind w:start="360"/>
        <w:ind w:firstLine="360"/>
      </w:pPr>
      <w:r>
        <w:rPr>
          <w:b/>
        </w:rPr>
        <w:t>1-A</w:t>
        <w:t xml:space="preserve">.  </w:t>
      </w:r>
      <w:r>
        <w:rPr>
          <w:b/>
        </w:rPr>
        <w:t xml:space="preserve">Investigations of deadly force or physical force by law enforcement officer.</w:t>
        <w:t xml:space="preserve"> </w:t>
      </w:r>
      <w:r>
        <w:t xml:space="preserve"> </w:t>
      </w:r>
      <w:r>
        <w:t xml:space="preserve">The name of a law enforcement officer is not confidential under </w:t>
      </w:r>
      <w:r>
        <w:t>subsection 1, paragraph B</w:t>
      </w:r>
      <w:r>
        <w:t xml:space="preserve">, subparagraph (5) in cases involving:</w:t>
      </w:r>
    </w:p>
    <w:p>
      <w:pPr>
        <w:jc w:val="both"/>
        <w:spacing w:before="100" w:after="0"/>
        <w:ind w:start="720"/>
      </w:pPr>
      <w:r>
        <w:rPr/>
        <w:t>A</w:t>
        <w:t xml:space="preserve">.  </w:t>
      </w:r>
      <w:r>
        <w:rPr/>
      </w:r>
      <w:r>
        <w:t xml:space="preserve">The use of deadly force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1991, c. 729, §6 (NEW).]</w:t>
      </w:r>
    </w:p>
    <w:p>
      <w:pPr>
        <w:jc w:val="both"/>
        <w:spacing w:before="100" w:after="0"/>
        <w:ind w:start="720"/>
      </w:pPr>
      <w:r>
        <w:rPr/>
        <w:t>B</w:t>
        <w:t xml:space="preserve">.  </w:t>
      </w:r>
      <w:r>
        <w:rPr/>
      </w:r>
      <w:r>
        <w:t xml:space="preserve">The use of physical force by a law enforcement officer resulting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1991, c. 729, §6 (NEW).]</w:t>
      </w:r>
    </w:p>
    <w:p>
      <w:pPr>
        <w:jc w:val="both"/>
        <w:spacing w:before="100" w:after="0"/>
        <w:ind w:start="360"/>
      </w:pPr>
      <w:r>
        <w:rPr/>
      </w:r>
      <w:r>
        <w:rPr/>
      </w:r>
      <w:r>
        <w:t xml:space="preserve">In cases specified in </w:t>
      </w:r>
      <w:r>
        <w:t>paragraphs A</w:t>
      </w:r>
      <w:r>
        <w:t xml:space="preserve"> and </w:t>
      </w:r>
      <w:r>
        <w:t>B</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§6 (NEW).]</w:t>
      </w:r>
    </w:p>
    <w:p>
      <w:pPr>
        <w:jc w:val="both"/>
        <w:spacing w:before="100" w:after="100"/>
        <w:ind w:start="360"/>
        <w:ind w:firstLine="360"/>
      </w:pPr>
      <w:r>
        <w:rPr>
          <w:b/>
        </w:rPr>
        <w:t>1-B</w:t>
        <w:t xml:space="preserve">.  </w:t>
      </w:r>
      <w:r>
        <w:rPr>
          <w:b/>
        </w:rPr>
        <w:t xml:space="preserve">Investigation of allegation of sexual misconduct or sexual harassment by county jail employee.</w:t>
        <w:t xml:space="preserve"> </w:t>
      </w:r>
      <w:r>
        <w:t xml:space="preserve"> </w:t>
      </w:r>
      <w:r>
        <w:t xml:space="preserve">Notwithstanding </w:t>
      </w:r>
      <w:r>
        <w:t>subsection 1, paragraph B</w:t>
      </w:r>
      <w:r>
        <w:t xml:space="preserve">, subparagraph (5), in the case of an allegation of sexual misconduct or sexual harassment within a county jail or detention facility, a determination that the allegation was substantiated, unsubstantiated or unfounded may be disclosed to the alleged victim. Unless the allegation is determined to be unfounded, the following information may also be shared with the alleged victim:</w:t>
      </w:r>
    </w:p>
    <w:p>
      <w:pPr>
        <w:jc w:val="both"/>
        <w:spacing w:before="100" w:after="0"/>
        <w:ind w:start="720"/>
      </w:pPr>
      <w:r>
        <w:rPr/>
        <w:t>A</w:t>
        <w:t xml:space="preserve">.  </w:t>
      </w:r>
      <w:r>
        <w:rPr/>
      </w:r>
      <w:r>
        <w:t xml:space="preserve">Whether the individual alleged to have engaged in the sexual misconduct or sexual harassment is still assigned to the same work location where the sexual misconduct or sexual harassment allegedly occurred;</w:t>
      </w:r>
      <w:r>
        <w:t xml:space="preserve">  </w:t>
      </w:r>
      <w:r xmlns:wp="http://schemas.openxmlformats.org/drawingml/2010/wordprocessingDrawing" xmlns:w15="http://schemas.microsoft.com/office/word/2012/wordml">
        <w:rPr>
          <w:rFonts w:ascii="Arial" w:hAnsi="Arial" w:cs="Arial"/>
          <w:sz w:val="22"/>
          <w:szCs w:val="22"/>
        </w:rPr>
        <w:t xml:space="preserve">[PL 2023, c. 615, §4 (NEW).]</w:t>
      </w:r>
    </w:p>
    <w:p>
      <w:pPr>
        <w:jc w:val="both"/>
        <w:spacing w:before="100" w:after="0"/>
        <w:ind w:start="720"/>
      </w:pPr>
      <w:r>
        <w:rPr/>
        <w:t>B</w:t>
        <w:t xml:space="preserve">.  </w:t>
      </w:r>
      <w:r>
        <w:rPr/>
      </w:r>
      <w:r>
        <w:t xml:space="preserve">Whether the individual under </w:t>
      </w:r>
      <w:r>
        <w:t>paragraph A</w:t>
      </w:r>
      <w:r>
        <w:t xml:space="preserve"> is still employed at the county jail or detention facility;</w:t>
      </w:r>
      <w:r>
        <w:t xml:space="preserve">  </w:t>
      </w:r>
      <w:r xmlns:wp="http://schemas.openxmlformats.org/drawingml/2010/wordprocessingDrawing" xmlns:w15="http://schemas.microsoft.com/office/word/2012/wordml">
        <w:rPr>
          <w:rFonts w:ascii="Arial" w:hAnsi="Arial" w:cs="Arial"/>
          <w:sz w:val="22"/>
          <w:szCs w:val="22"/>
        </w:rPr>
        <w:t xml:space="preserve">[PL 2023, c. 615, §4 (NEW).]</w:t>
      </w:r>
    </w:p>
    <w:p>
      <w:pPr>
        <w:jc w:val="both"/>
        <w:spacing w:before="100" w:after="0"/>
        <w:ind w:start="720"/>
      </w:pPr>
      <w:r>
        <w:rPr/>
        <w:t>C</w:t>
        <w:t xml:space="preserve">.  </w:t>
      </w:r>
      <w:r>
        <w:rPr/>
      </w:r>
      <w:r>
        <w:t xml:space="preserve">Whether the individual under </w:t>
      </w:r>
      <w:r>
        <w:t>paragraph A</w:t>
      </w:r>
      <w:r>
        <w:t xml:space="preserve"> has been criminally charged or convicted of a crime arising out of the allegation of sexual misconduct or sexual harassment; and</w:t>
      </w:r>
      <w:r>
        <w:t xml:space="preserve">  </w:t>
      </w:r>
      <w:r xmlns:wp="http://schemas.openxmlformats.org/drawingml/2010/wordprocessingDrawing" xmlns:w15="http://schemas.microsoft.com/office/word/2012/wordml">
        <w:rPr>
          <w:rFonts w:ascii="Arial" w:hAnsi="Arial" w:cs="Arial"/>
          <w:sz w:val="22"/>
          <w:szCs w:val="22"/>
        </w:rPr>
        <w:t xml:space="preserve">[PL 2023, c. 615, §4 (NEW).]</w:t>
      </w:r>
    </w:p>
    <w:p>
      <w:pPr>
        <w:jc w:val="both"/>
        <w:spacing w:before="100" w:after="0"/>
        <w:ind w:start="720"/>
      </w:pPr>
      <w:r>
        <w:rPr/>
        <w:t>D</w:t>
        <w:t xml:space="preserve">.  </w:t>
      </w:r>
      <w:r>
        <w:rPr/>
      </w:r>
      <w:r>
        <w:t xml:space="preserve">Whether the prosecuting agency declined to seek an indictment or the grand jury declined to indict the individual under </w:t>
      </w:r>
      <w:r>
        <w:t>paragraph A</w:t>
      </w:r>
      <w:r>
        <w:t xml:space="preserve"> based on the allegation of sexual misconduct or sexual harassment.</w:t>
      </w:r>
      <w:r>
        <w:t xml:space="preserve">  </w:t>
      </w:r>
      <w:r xmlns:wp="http://schemas.openxmlformats.org/drawingml/2010/wordprocessingDrawing" xmlns:w15="http://schemas.microsoft.com/office/word/2012/wordml">
        <w:rPr>
          <w:rFonts w:ascii="Arial" w:hAnsi="Arial" w:cs="Arial"/>
          <w:sz w:val="22"/>
          <w:szCs w:val="22"/>
        </w:rPr>
        <w:t xml:space="preserve">[PL 2023, c. 646,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B, §2 (AMD).]</w:t>
      </w:r>
    </w:p>
    <w:p>
      <w:pPr>
        <w:jc w:val="both"/>
        <w:spacing w:before="100" w:after="100"/>
        <w:ind w:start="360"/>
        <w:ind w:firstLine="360"/>
      </w:pPr>
      <w:r>
        <w:rPr>
          <w:b/>
        </w:rPr>
        <w:t>2</w:t>
        <w:t xml:space="preserve">.  </w:t>
      </w:r>
      <w:r>
        <w:rPr>
          <w:b/>
        </w:rPr>
        <w:t xml:space="preserve">Employee right to review.</w:t>
        <w:t xml:space="preserve"> </w:t>
      </w:r>
      <w:r>
        <w:t xml:space="preserve"> </w:t>
      </w:r>
      <w:r>
        <w:t xml:space="preserve">On written request from an employee or former employee, a county official with custody of the records shall provide that employee, former employee or the employee's authorized representative with an opportunity to review the employee's personnel file, if the county official has a personnel file for that employee.  These reviews shall take place during normal office hours at the location where the personnel files are maintained.</w:t>
      </w:r>
    </w:p>
    <w:p>
      <w:pPr>
        <w:jc w:val="both"/>
        <w:spacing w:before="100" w:after="0"/>
        <w:ind w:start="720"/>
      </w:pPr>
      <w:r>
        <w:rPr/>
        <w:t>A</w:t>
        <w:t xml:space="preserve">.  </w:t>
      </w:r>
      <w:r>
        <w:rPr/>
      </w:r>
      <w:r>
        <w:t xml:space="preserve">For the purposes of this subsection, a personnel file includes, but is not limited to, any formal or informal employee evaluations and reports relating to the employee's character, credit, work habits, compensation and benefits of which the county official has possession.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records described in </w:t>
      </w:r>
      <w:r>
        <w:t>subsection 1, paragraph B</w:t>
      </w:r>
      <w:r>
        <w:t xml:space="preserve">, may also be examined by the employee to whom they relate,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402, §2 (AMD). PL 1991, c. 229, §2 (AMD). PL 1991, c. 729, §6 (AMD). PL 1997, c. 770, §2 (AMD). PL 2013, c. 201, §2 (AMD). PL 2019, c. 451, §2 (AMD). PL 2023, c. 159, §2 (AMD). PL 2023, c. 615, §4 (AMD). PL 2023, c. 646,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§503.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