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5046</w:t>
        <w:t xml:space="preserve">.  </w:t>
      </w:r>
      <w:r>
        <w:rPr>
          <w:b/>
        </w:rPr>
        <w:t xml:space="preserve">Statewide Homeless Council created</w:t>
      </w:r>
    </w:p>
    <w:p>
      <w:pPr>
        <w:jc w:val="both"/>
        <w:spacing w:before="100" w:after="100"/>
        <w:ind w:start="360"/>
        <w:ind w:firstLine="360"/>
      </w:pPr>
      <w:r>
        <w:rPr/>
      </w:r>
      <w:r>
        <w:rPr/>
      </w:r>
      <w:r>
        <w:t xml:space="preserve">The Statewide Homeless Council, established in accordance with </w:t>
      </w:r>
      <w:r>
        <w:t>Title 5, chapter 379</w:t>
      </w:r>
      <w:r>
        <w:t xml:space="preserve">, shall serve as an advisory committee with respect to the administration and implementation of this chapter to the state authority, the Governor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§5046. Statewide Homeless Council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§5046. Statewide Homeless Council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§5046. STATEWIDE HOMELESS COUNCIL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