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5160</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redevelopment authority may provide by resolution for the issuance of bonds for the purpose of funding the Maine Redevelopment Land Bank Fund, or any successor to the fund. The bonds of the redevelopment authority do not constitute a debt or liability of the State or of any agency or political subdivision of the State other than the redevelopment authority but are payable solely from the revenue of the redevelopment authority, and neither the faith nor credit nor taxing power of the State or any political subdivision of the State is pledged to payment of the bonds. Notwithstanding any provision of law to the contrary, bonds issued pursuant to this chapter are fully negotiable. If a commissioner of the redevelopment authority whose signature appears on any bonds or coupons ceases to be a commissioner of the redevelopment authority before the delivery of those bonds or coupons, that signature is valid and sufficient for all purposes as if that commissioner had remained a commissioner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The redevelopment authority may, by resolution,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form and denomination of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Interest rates on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For registration if the redevelopment authority determines registration is desirable;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N</w:t>
        <w:t xml:space="preserve">.  </w:t>
      </w:r>
      <w:r>
        <w:rPr/>
      </w:r>
      <w:r>
        <w:t xml:space="preserve">For the issuance of bonds in a series;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O</w:t>
        <w:t xml:space="preserve">.  </w:t>
      </w:r>
      <w:r>
        <w:rPr/>
      </w:r>
      <w:r>
        <w:t xml:space="preserve">Any other matter relating to the bonds that the redevelopment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Liability.</w:t>
        <w:t xml:space="preserve"> </w:t>
      </w:r>
      <w:r>
        <w:t xml:space="preserve"> </w:t>
      </w:r>
      <w:r>
        <w:t xml:space="preserve">A member or employee of the redevelopment authority or a person executing the bonds may not be liable personally for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redevelopment authority, bonds may be secured by a trust indenture by and between the redevelopment authority and a corporate trustee, which may be any trust company or bank having the powers of a trust company, located either within or outside the State. Such a trust indenture may pledge or assign the revenues of the redevelopment authority or any part of it. A trust indenture may set forth the rights and remedies of the bondholders and the trustee, restrict the individual right of action of bondholders and contain such other provisions as the redevelopment authority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chapter being public and for the benefit of the people of the State, bonds of the redevelopment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redevelopment authority may issue revenue refunding bonds for the purpose of refunding revenue bonds issued under this chapter. The issuance of any refunding bonds is the same as is provided for in this 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ensuring that the operation by the redevelopment authority is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§5160.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§5160.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§5160.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