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5214</w:t>
        <w:t xml:space="preserve">.  </w:t>
      </w:r>
      <w:r>
        <w:rPr>
          <w:b/>
        </w:rPr>
        <w:t xml:space="preserve">Implementation of improvements to capital improvement district</w:t>
      </w:r>
    </w:p>
    <w:p>
      <w:pPr>
        <w:jc w:val="both"/>
        <w:spacing w:before="100" w:after="0"/>
        <w:ind w:start="360"/>
        <w:ind w:firstLine="360"/>
      </w:pPr>
      <w:r>
        <w:rPr>
          <w:b/>
        </w:rPr>
        <w:t>1</w:t>
        <w:t xml:space="preserve">.  </w:t>
      </w:r>
      <w:r>
        <w:rPr>
          <w:b/>
        </w:rPr>
        <w:t xml:space="preserve">Advisory committee.</w:t>
        <w:t xml:space="preserve"> </w:t>
      </w:r>
      <w:r>
        <w:t xml:space="preserve"> </w:t>
      </w:r>
      <w:r>
        <w:t xml:space="preserve">The municipal officers are responsible for implementing improvements to the capital improvement district. For the purposes of overseeing the authorized improvements to the capital improvement district, the municipal officers shall appoint an advisory committee consisting of no fewer than 3 and no more than 7 owners of property within the capital improvement district for the purposes of receiving comments and recommendations on the proposed improvement or improvements within the capital improvement district.  Advisory committee members serve at the pleasure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2</w:t>
        <w:t xml:space="preserve">.  </w:t>
      </w:r>
      <w:r>
        <w:rPr>
          <w:b/>
        </w:rPr>
        <w:t xml:space="preserve">Cost of improvement.</w:t>
        <w:t xml:space="preserve"> </w:t>
      </w:r>
      <w:r>
        <w:t xml:space="preserve"> </w:t>
      </w:r>
      <w:r>
        <w:t xml:space="preserve">The initial cost of an authorized improvement in a capital improvement district is borne by the municipality until the improvement is complete, as determined by the municipal officers.  Commencing with the first tax year that begins after the determination by the municipal officers that the improvement is complete, the municipality shall levy a special assessment against each property in the capital improvement district representing that property's annual share of the cost of the improvement as determined by the municipal officers and projected in the referenda ballots that created the capital improvement district, unless the actual total cost of the improvement is determined to be less than projected during the referenda, in which case the special assessments are reduced proportionally to reflect the actual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3</w:t>
        <w:t xml:space="preserve">.  </w:t>
      </w:r>
      <w:r>
        <w:rPr>
          <w:b/>
        </w:rPr>
        <w:t xml:space="preserve">Method of assessment.</w:t>
        <w:t xml:space="preserve"> </w:t>
      </w:r>
      <w:r>
        <w:t xml:space="preserve"> </w:t>
      </w:r>
      <w:r>
        <w:t xml:space="preserve">The special assessments must be included in the next annual warrant to the tax collector of the municipality for collection and must be collected in the same manner as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Annual report.</w:t>
        <w:t xml:space="preserve"> </w:t>
      </w:r>
      <w:r>
        <w:t xml:space="preserve"> </w:t>
      </w:r>
      <w:r>
        <w:t xml:space="preserve">The municipality's annual report must record the progress of implementing the improvements to the capital improvement district. At a minimum, the annual report must include:</w:t>
      </w:r>
    </w:p>
    <w:p>
      <w:pPr>
        <w:jc w:val="both"/>
        <w:spacing w:before="100" w:after="0"/>
        <w:ind w:start="720"/>
      </w:pPr>
      <w:r>
        <w:rPr/>
        <w:t>A</w:t>
        <w:t xml:space="preserve">.  </w:t>
      </w:r>
      <w:r>
        <w:rPr/>
      </w:r>
      <w:r>
        <w:t xml:space="preserve">The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public elements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improvements to the capital improvement district made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total cost of those improvements, the schedule of the assessed shares and contingency fees against the property located within the district to pay for the improvements and the degree to which those assessed shares and contingency fees have been collected.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§5214. Implementation of improvements to capital improvement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§5214. Implementation of improvements to capital improvement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§5214. IMPLEMENTATION OF IMPROVEMENTS TO CAPITAL IMPROVEMENT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