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5231</w:t>
        <w:t xml:space="preserve">.  </w:t>
      </w:r>
      <w:r>
        <w:rPr>
          <w:b/>
        </w:rPr>
        <w:t xml:space="preserve">Bond financing</w:t>
      </w:r>
    </w:p>
    <w:p>
      <w:pPr>
        <w:jc w:val="both"/>
        <w:spacing w:before="100" w:after="100"/>
        <w:ind w:start="360"/>
        <w:ind w:firstLine="360"/>
      </w:pPr>
      <w:r>
        <w:rPr/>
      </w:r>
      <w:r>
        <w:rPr/>
      </w:r>
      <w:r>
        <w:t xml:space="preserve">The legislative body of a municipality or plantation may authorize, issue and sell bonds, including, but not limited to, general obligation or revenue bonds or notes, that mature within 30 years from the date of issue to finance all project costs needed to carry out the development program within the development district.  The plantation or municipal officers authorized to issue the bonds or notes may borrow money in anticipation of the sale of the bonds for a period of up to 3 years by issuing temporary notes and notes in renewal of the bonds.  All revenues derived under </w:t>
      </w:r>
      <w:r>
        <w:t>section 5227</w:t>
      </w:r>
      <w:r>
        <w:t xml:space="preserve"> or under </w:t>
      </w:r>
      <w:r>
        <w:t>section 5228, subsection 1</w:t>
      </w:r>
      <w:r>
        <w:t xml:space="preserve"> received by the municipality or plantation are pledged for the payment of the activities described in the development program and used to reduce or cancel the taxes that may otherwise be required to be expended for that purpose.  The notes, bonds or other forms of financing may not be included when computing the municipality's or plantation's net debt.  Nothing in this section restricts the ability of the municipality or plantation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184,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§24 (AMD). PL 2013, c. 184,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§5231. Bond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§5231. Bond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§5231. BOND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