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§5250-A. Affordable housing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Affordable housing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§5250-A. AFFORDABLE HOUSING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