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5250-C</w:t>
        <w:t xml:space="preserve">.  </w:t>
      </w:r>
      <w:r>
        <w:rPr>
          <w:b/>
        </w:rPr>
        <w:t xml:space="preserve">Grants</w:t>
      </w:r>
    </w:p>
    <w:p>
      <w:pPr>
        <w:jc w:val="both"/>
        <w:spacing w:before="100" w:after="100"/>
        <w:ind w:start="360"/>
        <w:ind w:firstLine="360"/>
      </w:pPr>
      <w:r>
        <w:rPr/>
      </w:r>
      <w:r>
        <w:rPr/>
      </w:r>
      <w:r>
        <w:t xml:space="preserve">A municipality may receive grants or gifts for any of the purposes of this subchapter. The tax increment revenues within an affordable housing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§5250-C.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§5250-C.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§5250-C.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