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5602</w:t>
        <w:t xml:space="preserve">.  </w:t>
      </w:r>
      <w:r>
        <w:rPr>
          <w:b/>
        </w:rPr>
        <w:t xml:space="preserve">Notice of choice of treasurer</w:t>
      </w:r>
    </w:p>
    <w:p>
      <w:pPr>
        <w:jc w:val="both"/>
        <w:spacing w:before="100" w:after="100"/>
        <w:ind w:start="360"/>
        <w:ind w:firstLine="360"/>
      </w:pPr>
      <w:r>
        <w:rPr/>
      </w:r>
      <w:r>
        <w:rPr/>
      </w:r>
      <w:r>
        <w:t xml:space="preserve">When a treasurer is qualified and chosen, the clerk shall send the name of the treasurer to the Treasurer of State.  The Treasurer of State shall not send money to any municipality until receiving the name of its treasurer.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§5602. Notice of choice of treasurer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§5602. Notice of choice of treasurer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§5602. NOTICE OF CHOICE OF TREASURER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