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5702</w:t>
        <w:t xml:space="preserve">.  </w:t>
      </w:r>
      <w:r>
        <w:rPr>
          <w:b/>
        </w:rPr>
        <w:t xml:space="preserve">Limitation</w:t>
      </w:r>
    </w:p>
    <w:p>
      <w:pPr>
        <w:jc w:val="both"/>
        <w:spacing w:before="100" w:after="100"/>
        <w:ind w:start="360"/>
        <w:ind w:firstLine="360"/>
      </w:pPr>
      <w:r>
        <w:rPr/>
      </w:r>
      <w:r>
        <w:rPr/>
      </w:r>
      <w:r>
        <w:t xml:space="preserve">No municipality may incur debt which would cause its total debt outstanding at any time, exclusive of debt incurred for school purposes, for storm or sanitary sewer purposes, for energy facility purposes or for municipal airport purposes to exceed 7 1/2% of its last full state valuation, or any lower percentage or amount that a municipality may set.  A municipality may incur debt for school purposes to an amount outstanding at any time not exceeding 10% of its last full state valuation, or any lower percentage or amount that a municipality may set, for storm or sanitary sewer purposes to an amount outstanding at any time not exceeding 7 1/2% of its last full state valuation, or any lower percentage or amount that a municipality may set, and for municipal airport and special district purposes to an amount outstanding at any time not exceeding 3% of its last full state valuation, or any lower percentage or amount that a municipality may set; provided, however, that in no event may any municipality incur debt which would cause its total debt outstanding at any time to exceed 15% of its last full state valuation, or any lower percentage or amount that a municipality may set.</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213 (AMD).]</w:t>
      </w:r>
    </w:p>
    <w:p>
      <w:pPr>
        <w:jc w:val="both"/>
        <w:spacing w:before="100" w:after="100"/>
        <w:ind w:start="360"/>
        <w:ind w:firstLine="360"/>
      </w:pPr>
      <w:r>
        <w:rPr/>
      </w:r>
      <w:r>
        <w:rPr/>
      </w:r>
      <w:r>
        <w:t xml:space="preserve">For the purposes of this section, full state valuation shall mean the state valuation most recently certified by the State Tax Assessor pursuant to </w:t>
      </w:r>
      <w:r>
        <w:t>Title 36, section 381</w:t>
      </w:r>
      <w:r>
        <w:t xml:space="preserve">, adjusted to 100%.</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If a particular loan is or has been incurred by a municipality for school, storm or sanitary sewer, municipal airport, water and other purposes, or any combination thereof, the treasurer of the municipality shall make and maintain records showing the proportion, if any, of such loan incurred for school purposes, for storm or sanitary sewer purposes, for municipal airport purposes, for water purposes and for other purposes and the same proportions shall be applied to each maturity of such loan.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213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§5702.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§5702.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§5702.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