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5824</w:t>
        <w:t xml:space="preserve">.  </w:t>
      </w:r>
      <w:r>
        <w:rPr>
          <w:b/>
        </w:rPr>
        <w:t xml:space="preserve">Witnesses and records</w:t>
      </w:r>
    </w:p>
    <w:p>
      <w:pPr>
        <w:jc w:val="both"/>
        <w:spacing w:before="100" w:after="100"/>
        <w:ind w:start="360"/>
        <w:ind w:firstLine="360"/>
      </w:pPr>
      <w:r>
        <w:rPr/>
      </w:r>
      <w:r>
        <w:rPr/>
      </w:r>
      <w:r>
        <w:t xml:space="preserve">The State Auditor may subpoena witnesses and records and may examine witnesses under oath in all matters arising under </w:t>
      </w:r>
      <w:r>
        <w:t>sections 5821</w:t>
      </w:r>
      <w:r>
        <w:t xml:space="preserve"> to </w:t>
      </w:r>
      <w:r>
        <w:t>5823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§5824. Witnesses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§5824. Witnesses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§5824. WITNESSES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