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Vacancies;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Vacancies;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 VACANCIES;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