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Military or naval service; substitutes</w:t>
      </w:r>
    </w:p>
    <w:p>
      <w:pPr>
        <w:jc w:val="both"/>
        <w:spacing w:before="100" w:after="100"/>
        <w:ind w:start="360"/>
        <w:ind w:firstLine="360"/>
      </w:pPr>
      <w:r>
        <w:rPr/>
      </w:r>
      <w:r>
        <w:rPr/>
      </w:r>
      <w:r>
        <w:t xml:space="preserve">Whenever a county commissioner during the commissioner's term of office in time of war, contemplated war or emergency, enlists, enrolls, is called or ordered or drafted into the military or naval service of the United States, that commissioner is not deemed to have thereby resigned from or abandoned the office, nor is the commissioner removable from that office during the period of military or naval service except that the term of office is not lengthened because of this section.  From the time of induction into service, the commissioner is regarded as on leave of absence without pay from the office, and the Governor shall appoint a competent citizen, a resident of the same county, to fill the office while the county commissioner is in the federal service, but not for a longer period than the remaining portion of that commissioner's term.  In the case of a vacancy in the term of a commissioner who was nominated by primary election before the general election, the commissioner appointed by the Governor must be enrolled in the same political party as the commissioner whose term was vacant.  During the period of military or naval service, the county shall pay to the substitute county commissioner a salary at the same rate as the rate of pay of the county commissioner and amounts so paid shall be deducted from the salary of the county commissioner.  The citizen appointed to fill the temporary vacancy has the title of "substitute county commissioner" and possesses all the rights and powers and is subject to all the duties and obligations of the county commissioner.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 Military or naval service; substitutes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Military or naval service; substitutes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§64. MILITARY OR NAVAL SERVICE; SUBSTITUTES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