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§7009. Incorporation into town; first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Incorporation into town; first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§7009. INCORPORATION INTO TOWN; FIRST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