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Vehicles on icebound inland lakes</w:t>
      </w:r>
    </w:p>
    <w:p>
      <w:pPr>
        <w:jc w:val="both"/>
        <w:spacing w:before="100" w:after="100"/>
        <w:ind w:start="360"/>
        <w:ind w:firstLine="360"/>
      </w:pPr>
      <w:r>
        <w:rPr/>
      </w:r>
      <w:r>
        <w:rPr/>
      </w:r>
      <w:r>
        <w:t xml:space="preserve">For the purposes of regulating motor vehicles on icebound inland lakes, plantations have the same powers as municipalities under </w:t>
      </w:r>
      <w:r>
        <w:t>section 3009,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§7053. Vehicles on icebound inland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Vehicles on icebound inland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§7053. VEHICLES ON ICEBOUND INLAND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