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7056</w:t>
        <w:t xml:space="preserve">.  </w:t>
      </w:r>
      <w:r>
        <w:rPr>
          <w:b/>
        </w:rPr>
        <w:t xml:space="preserve">Plantation forest</w:t>
      </w:r>
    </w:p>
    <w:p>
      <w:pPr>
        <w:jc w:val="both"/>
        <w:spacing w:before="100" w:after="100"/>
        <w:ind w:start="360"/>
        <w:ind w:firstLine="360"/>
      </w:pPr>
      <w:r>
        <w:rPr/>
      </w:r>
      <w:r>
        <w:rPr/>
      </w:r>
      <w:r>
        <w:t xml:space="preserve">A plantation may acquire land by purchase, gift or bequest for the purpose of forestation or to reclaim and plant forest trees upon that land.  The assessors may appoint a forester whose duties are to make and enforce all necessary regulations and to care for and maintain the land as a forest producing area.  A plantation may establish a plantation forest reserve account to fund the operation and maintenance of the forest in accordance with </w:t>
      </w:r>
      <w:r>
        <w:t>sections 5801</w:t>
      </w:r>
      <w:r>
        <w:t xml:space="preserve"> and </w:t>
      </w:r>
      <w:r>
        <w:t>5802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§7056. Plantation forest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§7056. Plantation forest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§7056. PLANTATION FOREST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