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Notice to Legislature and fiscal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Notice to Legislature and fiscal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§7204. NOTICE TO LEGISLATURE AND FISCAL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