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Civil violation</w:t>
      </w:r>
    </w:p>
    <w:p>
      <w:pPr>
        <w:jc w:val="both"/>
        <w:spacing w:before="100" w:after="100"/>
        <w:ind w:start="360"/>
        <w:ind w:firstLine="360"/>
      </w:pPr>
      <w:r>
        <w:rPr/>
      </w:r>
      <w:r>
        <w:rPr/>
      </w:r>
      <w:r>
        <w:t xml:space="preserve">Any county officer who fails to follow the requirements of this chapter or </w:t>
      </w:r>
      <w:r>
        <w:t>chapter 3</w:t>
      </w:r>
      <w:r>
        <w:t xml:space="preserve">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