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Governing law</w:t>
      </w:r>
    </w:p>
    <w:p>
      <w:pPr>
        <w:jc w:val="both"/>
        <w:spacing w:before="100" w:after="0"/>
        <w:ind w:start="360"/>
        <w:ind w:firstLine="360"/>
      </w:pPr>
      <w:r>
        <w:rPr>
          <w:b/>
        </w:rPr>
        <w:t>1</w:t>
        <w:t xml:space="preserve">.  </w:t>
      </w:r>
      <w:r>
        <w:rPr>
          <w:b/>
        </w:rPr>
        <w:t xml:space="preserve">Partnership.</w:t>
        <w:t xml:space="preserve"> </w:t>
      </w:r>
      <w:r>
        <w:t xml:space="preserve"> </w:t>
      </w:r>
      <w:r>
        <w:t xml:space="preserve">Except as otherwise provided in a filed statement, in a written partnership agreement or in </w:t>
      </w:r>
      <w:r>
        <w:t>subsection 2</w:t>
      </w:r>
      <w:r>
        <w:t xml:space="preserve">, the law of the jurisdiction in which a partnership has its chief executive office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The law of this State governs relations among the partners and between the partners and the partnership and the liability of partners for an obligation of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