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Actions by and against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Actions by and against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§1035. ACTIONS BY AND AGAINST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