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 Statement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Statement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§1085. STATEMENT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