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 partnership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Effective date.</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partnership remains vested in the converted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obligations of the converting partnership continue as obligations of the converted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action or proceeding pending by or against the converting partnership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Effect of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Effect of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§1094. EFFECT OF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