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takes effect:</w:t>
      </w:r>
    </w:p>
    <w:p>
      <w:pPr>
        <w:jc w:val="both"/>
        <w:spacing w:before="100" w:after="0"/>
        <w:ind w:start="720"/>
      </w:pPr>
      <w:r>
        <w:rPr/>
        <w:t>A</w:t>
        <w:t xml:space="preserve">.  </w:t>
      </w:r>
      <w:r>
        <w:rPr/>
      </w:r>
      <w:r>
        <w:t xml:space="preserve">The separate existence of every partnership or limited partnership that is a party to the merger, other than the surviving entity, ceases;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property owned by each of the merged partnerships or limited partnerships vests in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All obligations of every partnership or limited partnership that is a party to the merger become the obligations of the surviving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An action or proceeding pending against a partnership or limited partnership that is a party to the merger may be continued as if the merger had not occurred, or the surviving entity may be substituted as a party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Agent for service of process.</w:t>
        <w:t xml:space="preserve"> </w:t>
      </w:r>
      <w:r>
        <w:t xml:space="preserve"> </w:t>
      </w:r>
      <w:r>
        <w:t xml:space="preserve">The Secretary of State is the agent for service of process in an action or proceeding against a surviving foreign partnership or limited partnership to enforce an obligation of a partnership or limited partnership that is a party to a merger.  The surviving entity shall promptly notify the Secretary of State of the mailing address of its chief executive office and of any change of address.  Upon receipt of process, the Secretary of State shall mail a copy of the process to the surviving foreign partnership or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Liability of partner.</w:t>
        <w:t xml:space="preserve"> </w:t>
      </w:r>
      <w:r>
        <w:t xml:space="preserve"> </w:t>
      </w:r>
      <w:r>
        <w:t xml:space="preserve">A partner of the surviving partnership or limited partnership is liable for:</w:t>
      </w:r>
    </w:p>
    <w:p>
      <w:pPr>
        <w:jc w:val="both"/>
        <w:spacing w:before="100" w:after="0"/>
        <w:ind w:start="720"/>
      </w:pPr>
      <w:r>
        <w:rPr/>
        <w:t>A</w:t>
        <w:t xml:space="preserve">.  </w:t>
      </w:r>
      <w:r>
        <w:rPr/>
      </w:r>
      <w:r>
        <w:t xml:space="preserve">All obligations of a party to the merger for which the partner was personally liable before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other obligations of the surviving entity incurred before the merger by a party to the merger, but those obligations may be satisfied only out of property of the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Except as otherwise provided in </w:t>
      </w:r>
      <w:r>
        <w:t>section 1034</w:t>
      </w:r>
      <w:r>
        <w:t xml:space="preserve">, all obligations of the surviving entity incurred after the merger takes effect, but those obligations may be satisfied only out of property of the entity if the partner is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Obligations incurred before merger.</w:t>
        <w:t xml:space="preserve"> </w:t>
      </w:r>
      <w:r>
        <w:t xml:space="preserve"> </w:t>
      </w:r>
      <w:r>
        <w:t xml:space="preserve">If the obligations incurred before the merger by a party to the merger are not satisfied out of the property of the surviving partnership or limited partnership, the general partners of that party immediately before the effective date of the merger shall contribute the amount necessary to satisfy that party's obligations to the surviving entity, in the manner provided in </w:t>
      </w:r>
      <w:r>
        <w:t>section 1087</w:t>
      </w:r>
      <w:r>
        <w:t xml:space="preserve"> or in the limited partnership act of the jurisdiction in which the party was formed, as the case may be, as if the merged party were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Dissociated partner.</w:t>
        <w:t xml:space="preserve"> </w:t>
      </w:r>
      <w:r>
        <w:t xml:space="preserve"> </w:t>
      </w:r>
      <w:r>
        <w:t xml:space="preserve">A partner of a party to a merger who does not become a partner of the surviving partnership or limited partnership is dissociated from the entity of which that partner was a partner as of the date the merger takes effect.  The surviving entity shall cause the partner's interest in the entity to be purchased under </w:t>
      </w:r>
      <w:r>
        <w:t>section 1071</w:t>
      </w:r>
      <w:r>
        <w:t xml:space="preserve"> or another statute specifically applicable to that partner's interest with respect to a merger.  The surviving entity is bound under </w:t>
      </w:r>
      <w:r>
        <w:t>section 1072</w:t>
      </w:r>
      <w:r>
        <w:t xml:space="preserve"> by an act of a general partner dissociated under this subsection, and the partner is liable under </w:t>
      </w:r>
      <w:r>
        <w:t>section 1073</w:t>
      </w:r>
      <w:r>
        <w:t xml:space="preserve"> for transactions entered into by the surviving entity after the merger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 Effect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Effect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§1096. EFFECT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