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General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General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§1354. GENERAL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